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15C">
      <w:pPr>
        <w:spacing w:line="480" w:lineRule="atLeast"/>
        <w:ind w:left="960" w:hanging="240"/>
        <w:jc w:val="both"/>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○天童市産業集積の形成に関する固定資産税課税免除条例</w:t>
      </w:r>
    </w:p>
    <w:p w:rsidR="00000000" w:rsidRDefault="0078615C">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平成２１年９月３０日</w:t>
      </w:r>
    </w:p>
    <w:p w:rsidR="00000000" w:rsidRDefault="0078615C">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条例第１８号</w:t>
      </w:r>
    </w:p>
    <w:p w:rsidR="00000000" w:rsidRDefault="0078615C">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平成２９年１２月２０日条例第１３号</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（目的）</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第１条　この条例は、本市の指定区域において企業立地を行った者に対し、地方税法（昭和２５年法律第２２６号）第６条第１項の規定による固定資産税の課税免除を行うことにより、当該企業立地を促進し、もって産業の集積及び活性化並びに雇</w:t>
      </w:r>
      <w:r>
        <w:rPr>
          <w:rFonts w:ascii="Century" w:eastAsia="ＭＳ 明朝" w:hAnsi="ＭＳ 明朝" w:cs="ＭＳ 明朝" w:hint="eastAsia"/>
          <w:color w:val="000000"/>
        </w:rPr>
        <w:t>用の創出に資することを目的とする。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（定義）</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第２条　この条例において、次の各号に掲げる用語の意義は、それぞれ当該各号に定めるところによる。</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指定区域　地域経済牽引事業の促進による地域の成長発展の基盤強化に関する法律（平成１９年法律第４０号）第４条第２項第１号に規定する促進区域内において、次に掲げる区域をいう。</w:t>
      </w:r>
    </w:p>
    <w:p w:rsidR="00000000" w:rsidRDefault="0078615C">
      <w:pPr>
        <w:spacing w:line="480" w:lineRule="atLeast"/>
        <w:ind w:left="720" w:hanging="240"/>
        <w:jc w:val="both"/>
        <w:rPr>
          <w:rFonts w:ascii="Century" w:eastAsia="ＭＳ 明朝" w:hAnsi="ＭＳ 明朝" w:cs="ＭＳ 明朝"/>
          <w:color w:val="000000"/>
        </w:rPr>
      </w:pPr>
      <w:r>
        <w:rPr>
          <w:rFonts w:ascii="Century" w:eastAsia="ＭＳ 明朝" w:hAnsi="ＭＳ 明朝" w:cs="ＭＳ 明朝" w:hint="eastAsia"/>
          <w:color w:val="000000"/>
        </w:rPr>
        <w:t>ア　平成２１年市告示第１４０号で地区整備計画を定めた区域（荒谷西工業団地）</w:t>
      </w:r>
    </w:p>
    <w:p w:rsidR="00000000" w:rsidRDefault="0078615C">
      <w:pPr>
        <w:spacing w:line="480" w:lineRule="atLeast"/>
        <w:ind w:left="720" w:hanging="240"/>
        <w:jc w:val="both"/>
        <w:rPr>
          <w:rFonts w:ascii="Century" w:eastAsia="ＭＳ 明朝" w:hAnsi="ＭＳ 明朝" w:cs="ＭＳ 明朝"/>
          <w:color w:val="000000"/>
        </w:rPr>
      </w:pPr>
      <w:r>
        <w:rPr>
          <w:rFonts w:ascii="Century" w:eastAsia="ＭＳ 明朝" w:hAnsi="ＭＳ 明朝" w:cs="ＭＳ 明朝" w:hint="eastAsia"/>
          <w:color w:val="000000"/>
        </w:rPr>
        <w:t>イ　平成２６年市告示第２０２号で地区整備計画を定めた区域（天童インター産業団地）</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企業立地　事業の用に供す</w:t>
      </w:r>
      <w:r>
        <w:rPr>
          <w:rFonts w:ascii="Century" w:eastAsia="ＭＳ 明朝" w:hAnsi="ＭＳ 明朝" w:cs="ＭＳ 明朝" w:hint="eastAsia"/>
          <w:color w:val="000000"/>
        </w:rPr>
        <w:t>る工場、事務所、倉庫等の施設（以下「工場等」という。）及び設備の新設又は増設をいう。</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事業者　企業立地を行う法人又は個人をいう。</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投下固定資産額　指定区域への企業立地に伴い、事業者が支出した費用のうち、当該指定区域内の土地、工場等及びこれらに付随する償却資産の取得に要した費用の総額をいう。</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中小企業者　中小企業基本法（昭和３８年法律第１５４号）第２条第１項各号に掲げるものをいう。</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正社員　事業者が直接雇用している雇用者であって、雇用期間の定めがなく、かつ、パート又はアルバイト</w:t>
      </w:r>
      <w:r>
        <w:rPr>
          <w:rFonts w:ascii="Century" w:eastAsia="ＭＳ 明朝" w:hAnsi="ＭＳ 明朝" w:cs="ＭＳ 明朝" w:hint="eastAsia"/>
          <w:color w:val="000000"/>
        </w:rPr>
        <w:t>でない者をいう。</w:t>
      </w:r>
    </w:p>
    <w:p w:rsidR="00000000" w:rsidRDefault="0078615C">
      <w:pPr>
        <w:spacing w:line="480" w:lineRule="atLeast"/>
        <w:ind w:left="960"/>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（平２９条例１３・一部改正）</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（課税免除の措置）</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第３条　市長は、指定区域への企業立地に伴い、事業者が取得した当該指定区域内の土地、工場等及びこれらに付随する償却資産に対して課する固定資産税については、当該課税を免除（以下「課税免除」という。）することができる。</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２　前項の課税免除を適用する期間は、当該課税が免除された最初の年度から起算して３年度以内とする。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（課税免除の要件）</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第４条　前条の規定による課税免除は、指定区域への企業立地を行った事業者のうち、次の各号のいずれにも該当するものに</w:t>
      </w:r>
      <w:r>
        <w:rPr>
          <w:rFonts w:ascii="Century" w:eastAsia="ＭＳ 明朝" w:hAnsi="ＭＳ 明朝" w:cs="ＭＳ 明朝" w:hint="eastAsia"/>
          <w:color w:val="000000"/>
        </w:rPr>
        <w:t>対して行うことができる。</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本市から土地を取得した日の翌日から起算して３年以内の投下固定資産額の総額が２億円（中小企業者にあっては５千万円）を超えること。</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本市から土地を取得した日の翌日から起算して３年以内に工場等の操業又は営業を開始すること。</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市内に住所を有する者を新たに正社員として４人以上（中小企業者にあっては１人以上）雇用すること。</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前号に規定する正社員を課税免除の期間において継続して雇用すること。</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（適用除外）</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第５条　前条に規定する課税免除の要件に該当する事業者のうち</w:t>
      </w:r>
      <w:r>
        <w:rPr>
          <w:rFonts w:ascii="Century" w:eastAsia="ＭＳ 明朝" w:hAnsi="ＭＳ 明朝" w:cs="ＭＳ 明朝" w:hint="eastAsia"/>
          <w:color w:val="000000"/>
        </w:rPr>
        <w:t>、次の各号のいずれかに該当する場合は、当該課税免除を行わないものとする。</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事業者が本市に係る市税を滞納している場合</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指定区域への企業立地に伴い事業者が取得した当該指定区域内の土地、工場等及びこれらに付随する償却資産のうち課税免除の対象となるものが建築基準法（昭和２５年法律第２０１号）、都市計画法（昭和４３年法律第１００号）、天童市地区計画の区域内における建築物の制限に関する条例（平成３年条例第２２号）、都市計画法第１２条の５の規定により定めた地区計画（指定区域に係るものに限る。）その他の企業</w:t>
      </w:r>
      <w:r>
        <w:rPr>
          <w:rFonts w:ascii="Century" w:eastAsia="ＭＳ 明朝" w:hAnsi="ＭＳ 明朝" w:cs="ＭＳ 明朝" w:hint="eastAsia"/>
          <w:color w:val="000000"/>
        </w:rPr>
        <w:t>立地に係る法令又は計画に抵触する場合</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前２号に掲げるもののほか、市長が課税免除を行うことが適当でないと認める場合</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（課税免除の申請）</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第６条　第３条の規定により、課税免除の適用を受けようとする事業者は、当該課税免除を受けようとする年度の４月末日までに課税免除申請書を市長に提出しなければならない。</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（課税免除の決定）</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第７条　市長は、前条の申請があった場合は、内容を審査し、適当と認める場合は課税免除の決定を行い、当該申請を行った事業者に通知するものとする。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（報告及び調査）</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第８条　市長は、課税免除の</w:t>
      </w:r>
      <w:r>
        <w:rPr>
          <w:rFonts w:ascii="Century" w:eastAsia="ＭＳ 明朝" w:hAnsi="ＭＳ 明朝" w:cs="ＭＳ 明朝" w:hint="eastAsia"/>
          <w:color w:val="000000"/>
        </w:rPr>
        <w:t>決定を行った事業者に対し、必要に応じて報告若しくは関係書類の提出を求め、又は実地調査を行うことができる。</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２　課税免除の決定を受けた事業者は、前項の報告又は調査を求められた場合は、これに従わなければならない。</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（課税免除の決定の取消し）</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第９条　市長は、課税免除の決定を受けた事業者が次の各号のいずれかに該当する場合は、課税免除の決定を取り消すものとする。</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偽りその他不正な手段により課税免除の決定を受けた場合</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課税免除の決定を受けた後に第４条に規定する課税免除の要件に該当しない事実があった場合</w:t>
      </w:r>
    </w:p>
    <w:p w:rsidR="00000000" w:rsidRDefault="0078615C">
      <w:pPr>
        <w:spacing w:line="480" w:lineRule="atLeast"/>
        <w:ind w:left="480" w:hanging="240"/>
        <w:jc w:val="both"/>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前２号に掲げるもののほか、この条例に違反する事実があった場合</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市長は、前項の規定により課税免除の決定を取り消した場合は、当該事業者に通知するものとする。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（固定資産税の納付）</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第１０条　市長は、前条の規定により課税免除の決定を取り消した場合は、期限を定めて当該取り消した課税免除の額に相当する固定資産税の納付を命じるものとする。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（課税免除の権利の承継）</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第１１条　合併、譲渡、相続その他の理由により、課税免除の対象となった指定区域内の土地、工場等及びこれらに付随する償却資産を承継した者（以下「承</w:t>
      </w:r>
      <w:r>
        <w:rPr>
          <w:rFonts w:ascii="Century" w:eastAsia="ＭＳ 明朝" w:hAnsi="ＭＳ 明朝" w:cs="ＭＳ 明朝" w:hint="eastAsia"/>
          <w:color w:val="000000"/>
        </w:rPr>
        <w:t>継者」という。）は、当該工場等の操業又は営業が継続される場合に限り、市長の承認を得て、この条例に規定する課税免除の権利を承継することができる。</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２　市長は、前項の課税免除の権利の承継を承認したときは、承継者に通知するものとする。</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（財産処分等の制限）</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第１２条　課税免除の決定を受けた事業者は、課税免除の対象となった指定区域内の土地、工場等及びこれらに付随する償却資産について、この条例の目的に反して使用し、又は譲り渡し、若しくは貸し付けようとする場合は、市長の承認を受けなければならない。</w:t>
      </w:r>
    </w:p>
    <w:p w:rsidR="00000000" w:rsidRDefault="0078615C">
      <w:pPr>
        <w:spacing w:line="480" w:lineRule="atLeast"/>
        <w:ind w:left="240"/>
        <w:jc w:val="both"/>
        <w:rPr>
          <w:rFonts w:ascii="Century" w:eastAsia="ＭＳ 明朝" w:hAnsi="ＭＳ 明朝" w:cs="ＭＳ 明朝"/>
          <w:color w:val="000000"/>
        </w:rPr>
      </w:pPr>
      <w:r>
        <w:rPr>
          <w:rFonts w:ascii="Century" w:eastAsia="ＭＳ 明朝" w:hAnsi="ＭＳ 明朝" w:cs="ＭＳ 明朝" w:hint="eastAsia"/>
          <w:color w:val="000000"/>
        </w:rPr>
        <w:t>（規則への委任）</w:t>
      </w:r>
    </w:p>
    <w:p w:rsidR="00000000" w:rsidRDefault="0078615C">
      <w:pPr>
        <w:spacing w:line="480" w:lineRule="atLeast"/>
        <w:ind w:left="240" w:hanging="240"/>
        <w:jc w:val="both"/>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hint="eastAsia"/>
          <w:color w:val="000000"/>
        </w:rPr>
        <w:t>１３条　この条例に定めるもののほか、この条例の施行に関し必要な事項は、規則で定める。</w:t>
      </w:r>
    </w:p>
    <w:p w:rsidR="00000000" w:rsidRDefault="0078615C">
      <w:pPr>
        <w:spacing w:line="480" w:lineRule="atLeast"/>
        <w:ind w:left="720"/>
        <w:jc w:val="both"/>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78615C">
      <w:pPr>
        <w:spacing w:line="480" w:lineRule="atLeast"/>
        <w:ind w:firstLine="240"/>
        <w:jc w:val="both"/>
        <w:rPr>
          <w:rFonts w:ascii="Century" w:eastAsia="ＭＳ 明朝" w:hAnsi="ＭＳ 明朝" w:cs="ＭＳ 明朝"/>
          <w:color w:val="000000"/>
        </w:rPr>
      </w:pPr>
      <w:r>
        <w:rPr>
          <w:rFonts w:ascii="Century" w:eastAsia="ＭＳ 明朝" w:hAnsi="ＭＳ 明朝" w:cs="ＭＳ 明朝" w:hint="eastAsia"/>
          <w:color w:val="000000"/>
        </w:rPr>
        <w:t>この条例は、平成２２年１月１日から施行する。</w:t>
      </w:r>
    </w:p>
    <w:p w:rsidR="00000000" w:rsidRDefault="0078615C">
      <w:pPr>
        <w:spacing w:line="480" w:lineRule="atLeast"/>
        <w:ind w:left="720"/>
        <w:jc w:val="both"/>
        <w:rPr>
          <w:rFonts w:ascii="Century" w:eastAsia="ＭＳ 明朝" w:hAnsi="ＭＳ 明朝" w:cs="ＭＳ 明朝"/>
          <w:color w:val="000000"/>
        </w:rPr>
      </w:pPr>
      <w:r>
        <w:rPr>
          <w:rFonts w:ascii="Century" w:eastAsia="ＭＳ 明朝" w:hAnsi="ＭＳ 明朝" w:cs="ＭＳ 明朝" w:hint="eastAsia"/>
          <w:color w:val="000000"/>
        </w:rPr>
        <w:t>附　則（平成２９年１２月２０日条例第１３号）</w:t>
      </w:r>
    </w:p>
    <w:p w:rsidR="00000000" w:rsidRDefault="0078615C">
      <w:pPr>
        <w:spacing w:line="480" w:lineRule="atLeast"/>
        <w:ind w:firstLine="240"/>
        <w:jc w:val="both"/>
        <w:rPr>
          <w:rFonts w:ascii="Century" w:eastAsia="ＭＳ 明朝" w:hAnsi="ＭＳ 明朝" w:cs="ＭＳ 明朝"/>
          <w:color w:val="000000"/>
        </w:rPr>
      </w:pPr>
      <w:r>
        <w:rPr>
          <w:rFonts w:ascii="Century" w:eastAsia="ＭＳ 明朝" w:hAnsi="ＭＳ 明朝" w:cs="ＭＳ 明朝" w:hint="eastAsia"/>
          <w:color w:val="000000"/>
        </w:rPr>
        <w:t>この条例は、公布の日から施行する。</w:t>
      </w:r>
    </w:p>
    <w:p w:rsidR="00000000" w:rsidRDefault="0078615C">
      <w:pPr>
        <w:spacing w:line="480" w:lineRule="atLeast"/>
        <w:jc w:val="both"/>
        <w:rPr>
          <w:rFonts w:ascii="Century" w:eastAsia="ＭＳ 明朝" w:hAnsi="ＭＳ 明朝" w:cs="ＭＳ 明朝"/>
          <w:color w:val="000000"/>
        </w:rPr>
      </w:pPr>
      <w:bookmarkStart w:id="1" w:name="last"/>
      <w:bookmarkEnd w:id="1"/>
    </w:p>
    <w:sectPr w:rsidR="00000000">
      <w:footerReference w:type="default" r:id="rId7"/>
      <w:pgSz w:w="11905" w:h="16837"/>
      <w:pgMar w:top="1247" w:right="1247" w:bottom="1247" w:left="1247" w:header="720" w:footer="720" w:gutter="0"/>
      <w:cols w:space="720"/>
      <w:noEndnote/>
      <w:docGrid w:type="linesAndChars" w:linePitch="3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15C">
      <w:r>
        <w:separator/>
      </w:r>
    </w:p>
  </w:endnote>
  <w:endnote w:type="continuationSeparator" w:id="0">
    <w:p w:rsidR="00000000" w:rsidRDefault="0078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15C">
    <w:pPr>
      <w:spacing w:line="288" w:lineRule="atLeast"/>
      <w:jc w:val="center"/>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pgNum/>
    </w:r>
    <w:r>
      <w:rPr>
        <w:rFonts w:ascii="Century" w:eastAsia="ＭＳ 明朝" w:hAnsi="ＭＳ 明朝" w:cs="ＭＳ 明朝" w:hint="eastAsia"/>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15C">
      <w:r>
        <w:separator/>
      </w:r>
    </w:p>
  </w:footnote>
  <w:footnote w:type="continuationSeparator" w:id="0">
    <w:p w:rsidR="00000000" w:rsidRDefault="00786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7"/>
  <w:drawingGridVerticalSpacing w:val="38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5C"/>
    <w:rsid w:val="0078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2018-07-31T04:43:00Z</dcterms:created>
  <dcterms:modified xsi:type="dcterms:W3CDTF">2018-07-31T04:43:00Z</dcterms:modified>
</cp:coreProperties>
</file>